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宁夏回族自治区2022年</w:t>
      </w:r>
      <w:bookmarkStart w:id="0" w:name="_GoBack"/>
      <w:bookmarkEnd w:id="0"/>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考试录用公务员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公共科目考试大纲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一、笔试内容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年度考试录用公务员公共科目笔试分为行政职业能力测验和申论两科，主要测查从事公务员工作应当具备的基本能力和基本素质，特别是用习近平新时代中国特色社会主义思想指导</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分析和</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公共科目笔试全部采用闭卷考试的方式。其中，行政职业能力测验为客观性试题，考试时限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120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申论为主观性试题，考试时限</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5</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0</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二、行政职业能力测验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6"/>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行政职业能力测验主要包括常识判断、言语理解与表达、数量关系、判断推理和资料分析等</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内容</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6"/>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常识判断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主要测查报考者在政治、经济、文化、科技等方面应知应会的基本知识以及运用这些知识进行分析判断的基本能力。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例题：发展必须是科学发展，必须坚定不移贯彻创新、协调、绿色、开放、共享的发展理念。下列与之有关的说法，正确的有几项？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①创新发展注重的是解决发展动力问题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②协调发展注重的是解决社会公平正义问题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③绿色发展注重的是解决人与自然和谐共生问题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④开放发展注重的是解决发展内外联动问题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⑤共享发展注重的是解决发展不平衡问题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A．1                                    B．2</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C．3                                    D．4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言语理解与表达</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文段最后一句话中的“这”指的是：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．自然共同体意识的树立</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．对自然共同体的义务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．热爱自然的感情</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．重建人与自然关系的愿望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，也依赖</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”，即实现这种意识的条件。因此，可知“这”指的是“自然共同体意识的树立”，正确答案为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例题2：中国道路的成功开创不仅创造了中国奇迹，而且创造了中国经验。中国经验无疑是中国智慧的结晶，具有鲜明的</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______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依次填入画横线部分最恰当的一项是：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．地域性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国际性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．实践性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理论性</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．先进性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创新性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．特殊性</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普遍性</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数量关系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主要测查报考者理解、把握事物间量化关系和解决数量关系问题的能力，主要涉及数据关系的分析、推理、判断、运算等。常用题型有数字推理和数学运算两种。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数字推理：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1   2   4   8   16  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16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24    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32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36</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。原数列是一个等比数列，后一项是前一项的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倍，故正确答案为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数学运算：</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每道题给出一个算术式子或者表达数量关系的一段文字，要求报考者熟练运用加、减、乘、除等基本运算法则，并利用其他基本数学知识计算或推出结果。</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例题：某单位的会议室有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排共</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个座位，每排座位数相同。小张和小李随机入座，则他们坐在同一排的概率：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．不高于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15%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但低于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．正好为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．高于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20%</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。根据题意可知，小张随机选一个位置就坐，那么小李可以选择的位置为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个，因此总情况数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=40</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39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。要让他们恰好坐在同一排，应先从</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排中选一排，再从这一排中选</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个座位，符合条件的情况数</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=5</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，因此概率约为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7/39=17.9%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判断推理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主要测查报考者对各种事物关系的分析推理能力，主要涉及对图形、语词概念、事物关系和文字材料的理解、比较、组合、演绎和归纳等。常用题型有图形推理、定义判断、类比推理、逻辑判断四种。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图形推理：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每道题给出一套或两套图形，要求报考者通过观察分析找出图形排列的规律，选出符合规律的一项。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例题：把下面的六个图形分为两类，使每一类图形都有各自的共同特征或规律，分类正确的一项是：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55" w:lineRule="atLeast"/>
        <w:ind w:firstLine="310" w:firstLineChars="100"/>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①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③</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9264" behindDoc="0" locked="0" layoutInCell="1" allowOverlap="1">
            <wp:simplePos x="0" y="0"/>
            <wp:positionH relativeFrom="column">
              <wp:posOffset>-59055</wp:posOffset>
            </wp:positionH>
            <wp:positionV relativeFrom="paragraph">
              <wp:posOffset>120650</wp:posOffset>
            </wp:positionV>
            <wp:extent cx="5562600" cy="797560"/>
            <wp:effectExtent l="0" t="0" r="0" b="0"/>
            <wp:wrapTopAndBottom/>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562600" cy="797560"/>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18"/>
          <w:szCs w:val="18"/>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．①②⑥，③④⑤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．①③④，②⑤⑥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．①④⑤，②③⑥</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．①④⑥，②③⑤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。题干中每个图形中都有多个封闭图形和线段，考虑二者之间的位置关系。正确答案为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定义判断：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每道题先对相关概念进行定义，然后分别列出四种情况，要求报考者严格依据定义选出一个最符合或最不符合该定义的答案。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55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根据上述定义，下列选项中应添加“批复”的是：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．《国务院办公厅关于进一步加强资本市场中小投资者合法权益保护工作的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．《国务院办公厅关于黑龙江双鸭山经济开发区升级为国家级经济技术开发区的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．《国务院关于同意设立陕西西咸新区的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．《国务院关于在我国统一实行法定计量单位的</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____</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。根据题干，“批复”的定义要点是：答复下级机关请示事项。</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选项中，同意设立陕西西咸新区，属于答复下级机关请示，符合定义。因此，正确答案为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类比推理：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给出一组相关的词，要求通过观察分析，在备选答案中找出一组与之在逻辑关系上最为贴近或相似的词。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例题：设计</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发放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问卷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．复制</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修改</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文字</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．预习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复习</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考试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．播放</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快进</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磁带</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．制定</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执行</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政策</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。“设计”和“发放”是问卷实施过程中必然经历的两个步骤，顺序是先设计，后发放。</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选项，“制定”“执行”是政策实行过程中必然经历的两个步骤，并且制定在前，执行在后，与题干逻辑关系一致，</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选项中的词语不具备题干中的逻辑关系。因此，正确答案为</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6"/>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逻辑判断：</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每道题给出一段陈述，这段陈述被假设是正确的，不容置疑的。要求报考者根据这段陈述，运用一定的逻辑推论，选择一个最恰当的答案。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例题：一切生命有机体都需要新陈代谢，否则生命就会停止。文明也是一样，如果长期自我封闭，必将走向衰落。交流互鉴是文明发展的本质要求。只有同其他文明交流互鉴、取长补短，才能保持旺盛生命活力。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由此可以推出：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．一种文明如果没有长期自我封闭，就不会走向衰落</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．一种文明如果同其他文明交流互鉴、取长补短，就能保持旺盛生命活力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．一种文明如果没有同其他文明交流互鉴，就不能保持旺盛生命活力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．一种文明如果没有保持旺盛生命活力，它就没有同其他文明取长补短</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（答案：</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选项将题干中的条件前后件均加否定，不能推出；</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B</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选项将题干中的“只有…才…”转换为“如果…就…”，不能推出；</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选项是对题干最后一句话的同义表述，可以推出；</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D</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选项将题干最后一句话的前后件对调，不能推出。因此，正确答案为</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6"/>
        <w:jc w:val="both"/>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资料分析</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主要测查报考者对文字、数字、图表等统计性资料的综合理解与分析加工能力。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方正魏碑_GBK" w:hAnsi="方正魏碑_GBK" w:eastAsia="方正魏碑_GBK" w:cs="方正魏碑_GBK"/>
          <w:i w:val="0"/>
          <w:iCs w:val="0"/>
          <w:caps w:val="0"/>
          <w:color w:val="333333"/>
          <w:spacing w:val="0"/>
          <w:sz w:val="31"/>
          <w:szCs w:val="31"/>
          <w:shd w:val="clear" w:fill="FFFFFF"/>
        </w:rPr>
      </w:pP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例题：</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2019</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年全国地铁运营线路长度达</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5181</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公里，占城轨交通运营线路总里程的</w:t>
      </w: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76.8%</w:t>
      </w: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1571" w:firstLineChars="507"/>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1571" w:firstLineChars="507"/>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102235</wp:posOffset>
            </wp:positionV>
            <wp:extent cx="5145405" cy="2743200"/>
            <wp:effectExtent l="0" t="0" r="0" b="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145405" cy="2743200"/>
                    </a:xfrm>
                    <a:prstGeom prst="rect">
                      <a:avLst/>
                    </a:prstGeom>
                    <a:noFill/>
                    <a:ln w="9525">
                      <a:noFill/>
                    </a:ln>
                  </pic:spPr>
                </pic:pic>
              </a:graphicData>
            </a:graphic>
          </wp:anchor>
        </w:drawing>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1571" w:firstLineChars="507"/>
        <w:jc w:val="both"/>
        <w:textAlignment w:val="auto"/>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1"/>
          <w:szCs w:val="31"/>
          <w:shd w:val="clear" w:fill="FFFFFF"/>
          <w14:textFill>
            <w14:solidFill>
              <w14:schemeClr w14:val="tx1"/>
            </w14:solidFill>
          </w14:textFill>
        </w:rPr>
        <w:t>2013～2019年全国地铁运营线路长度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楷体_GB2312" w:cs="Times New Roman"/>
          <w:i w:val="0"/>
          <w:iCs w:val="0"/>
          <w:caps w:val="0"/>
          <w:color w:val="333333"/>
          <w:spacing w:val="0"/>
          <w:sz w:val="31"/>
          <w:szCs w:val="31"/>
          <w:shd w:val="clear" w:fill="FFFFFF"/>
        </w:rPr>
      </w:pPr>
      <w:r>
        <w:rPr>
          <w:rFonts w:hint="default" w:ascii="Times New Roman" w:hAnsi="Times New Roman" w:eastAsia="微软雅黑" w:cs="Times New Roman"/>
          <w:i w:val="0"/>
          <w:iCs w:val="0"/>
          <w:caps w:val="0"/>
          <w:color w:val="333333"/>
          <w:spacing w:val="0"/>
          <w:sz w:val="31"/>
          <w:szCs w:val="31"/>
          <w:shd w:val="clear" w:fill="FFFFFF"/>
        </w:rPr>
        <w:t>2019</w:t>
      </w:r>
      <w:r>
        <w:rPr>
          <w:rFonts w:hint="default" w:ascii="Times New Roman" w:hAnsi="Times New Roman" w:eastAsia="楷体_GB2312" w:cs="Times New Roman"/>
          <w:i w:val="0"/>
          <w:iCs w:val="0"/>
          <w:caps w:val="0"/>
          <w:color w:val="333333"/>
          <w:spacing w:val="0"/>
          <w:sz w:val="31"/>
          <w:szCs w:val="31"/>
          <w:shd w:val="clear" w:fill="FFFFFF"/>
        </w:rPr>
        <w:t>年末，我国城轨交通配属地铁列车</w:t>
      </w:r>
      <w:r>
        <w:rPr>
          <w:rFonts w:hint="default" w:ascii="Times New Roman" w:hAnsi="Times New Roman" w:eastAsia="微软雅黑" w:cs="Times New Roman"/>
          <w:i w:val="0"/>
          <w:iCs w:val="0"/>
          <w:caps w:val="0"/>
          <w:color w:val="333333"/>
          <w:spacing w:val="0"/>
          <w:sz w:val="31"/>
          <w:szCs w:val="31"/>
          <w:shd w:val="clear" w:fill="FFFFFF"/>
        </w:rPr>
        <w:t>6178</w:t>
      </w:r>
      <w:r>
        <w:rPr>
          <w:rFonts w:hint="default" w:ascii="Times New Roman" w:hAnsi="Times New Roman" w:eastAsia="楷体_GB2312" w:cs="Times New Roman"/>
          <w:i w:val="0"/>
          <w:iCs w:val="0"/>
          <w:caps w:val="0"/>
          <w:color w:val="333333"/>
          <w:spacing w:val="0"/>
          <w:sz w:val="31"/>
          <w:szCs w:val="31"/>
          <w:shd w:val="clear" w:fill="FFFFFF"/>
        </w:rPr>
        <w:t>列，全年实现地铁客运量</w:t>
      </w:r>
      <w:r>
        <w:rPr>
          <w:rFonts w:hint="default" w:ascii="Times New Roman" w:hAnsi="Times New Roman" w:eastAsia="微软雅黑" w:cs="Times New Roman"/>
          <w:i w:val="0"/>
          <w:iCs w:val="0"/>
          <w:caps w:val="0"/>
          <w:color w:val="333333"/>
          <w:spacing w:val="0"/>
          <w:sz w:val="31"/>
          <w:szCs w:val="31"/>
          <w:shd w:val="clear" w:fill="FFFFFF"/>
        </w:rPr>
        <w:t>227.76</w:t>
      </w:r>
      <w:r>
        <w:rPr>
          <w:rFonts w:hint="default" w:ascii="Times New Roman" w:hAnsi="Times New Roman" w:eastAsia="楷体_GB2312" w:cs="Times New Roman"/>
          <w:i w:val="0"/>
          <w:iCs w:val="0"/>
          <w:caps w:val="0"/>
          <w:color w:val="333333"/>
          <w:spacing w:val="0"/>
          <w:sz w:val="31"/>
          <w:szCs w:val="31"/>
          <w:shd w:val="clear" w:fill="FFFFFF"/>
        </w:rPr>
        <w:t>亿人次。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i w:val="0"/>
          <w:iCs w:val="0"/>
          <w:caps w:val="0"/>
          <w:color w:val="333333"/>
          <w:spacing w:val="0"/>
          <w:sz w:val="18"/>
          <w:szCs w:val="18"/>
        </w:rPr>
      </w:pPr>
      <w:r>
        <w:rPr>
          <w:rFonts w:hint="eastAsia" w:ascii="黑体" w:hAnsi="黑体" w:eastAsia="黑体" w:cs="黑体"/>
          <w:i w:val="0"/>
          <w:iCs w:val="0"/>
          <w:caps w:val="0"/>
          <w:color w:val="333333"/>
          <w:spacing w:val="0"/>
          <w:sz w:val="31"/>
          <w:szCs w:val="31"/>
          <w:shd w:val="clear" w:fill="FFFFFF"/>
        </w:rPr>
        <w:t>2019年我国部分城市地铁运营状况</w:t>
      </w:r>
    </w:p>
    <w:tbl>
      <w:tblPr>
        <w:tblStyle w:val="7"/>
        <w:tblW w:w="80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2"/>
        <w:gridCol w:w="1543"/>
        <w:gridCol w:w="1564"/>
        <w:gridCol w:w="1628"/>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3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333333"/>
                <w:sz w:val="18"/>
                <w:szCs w:val="18"/>
                <w:u w:val="none"/>
              </w:rPr>
            </w:pPr>
          </w:p>
        </w:tc>
        <w:tc>
          <w:tcPr>
            <w:tcW w:w="154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运营线路长度（公里）</w:t>
            </w:r>
          </w:p>
        </w:tc>
        <w:tc>
          <w:tcPr>
            <w:tcW w:w="156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运营线路条数（条）</w:t>
            </w:r>
          </w:p>
        </w:tc>
        <w:tc>
          <w:tcPr>
            <w:tcW w:w="1628"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配属地铁列车（列）</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kern w:val="0"/>
                <w:sz w:val="24"/>
                <w:szCs w:val="24"/>
                <w:u w:val="none"/>
                <w:lang w:val="en-US" w:eastAsia="zh-CN" w:bidi="ar"/>
              </w:rPr>
            </w:pPr>
            <w:r>
              <w:rPr>
                <w:rFonts w:hint="default" w:ascii="Times New Roman" w:hAnsi="Times New Roman" w:eastAsia="仿宋_GB2312" w:cs="Times New Roman"/>
                <w:i w:val="0"/>
                <w:iCs w:val="0"/>
                <w:color w:val="333333"/>
                <w:kern w:val="0"/>
                <w:sz w:val="24"/>
                <w:szCs w:val="24"/>
                <w:u w:val="none"/>
                <w:lang w:val="en-US" w:eastAsia="zh-CN" w:bidi="ar"/>
              </w:rPr>
              <w:t>客运量</w:t>
            </w:r>
          </w:p>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（亿人次）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上海</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669.5</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15</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898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北京</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637.6</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20</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1001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广州</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489.4</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13</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510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武汉</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338.4</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9</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435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深圳</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304.4</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8</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成都</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302.2</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7</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410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重庆</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230</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7</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223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天津</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178.6</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5</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南京</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176.8</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5</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203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苏州</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165.9</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西安</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158</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5</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203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郑州</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151.7</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杭州</w:t>
            </w:r>
          </w:p>
        </w:tc>
        <w:tc>
          <w:tcPr>
            <w:tcW w:w="1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130.9</w:t>
            </w:r>
          </w:p>
        </w:tc>
        <w:tc>
          <w:tcPr>
            <w:tcW w:w="1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4</w:t>
            </w:r>
          </w:p>
        </w:tc>
        <w:tc>
          <w:tcPr>
            <w:tcW w:w="1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174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4"/>
                <w:szCs w:val="24"/>
                <w:u w:val="none"/>
              </w:rPr>
            </w:pPr>
            <w:r>
              <w:rPr>
                <w:rFonts w:hint="default" w:ascii="Times New Roman" w:hAnsi="Times New Roman" w:eastAsia="仿宋_GB2312" w:cs="Times New Roman"/>
                <w:i w:val="0"/>
                <w:iCs w:val="0"/>
                <w:color w:val="333333"/>
                <w:kern w:val="0"/>
                <w:sz w:val="24"/>
                <w:szCs w:val="24"/>
                <w:u w:val="none"/>
                <w:lang w:val="en-US" w:eastAsia="zh-CN" w:bidi="ar"/>
              </w:rPr>
              <w:t>6.3</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楷体" w:hAnsi="楷体" w:eastAsia="楷体" w:cs="楷体"/>
          <w:i w:val="0"/>
          <w:iCs w:val="0"/>
          <w:caps w:val="0"/>
          <w:color w:val="333333"/>
          <w:spacing w:val="0"/>
          <w:sz w:val="28"/>
          <w:szCs w:val="28"/>
        </w:rPr>
      </w:pPr>
      <w:r>
        <w:rPr>
          <w:rFonts w:hint="eastAsia" w:ascii="楷体" w:hAnsi="楷体" w:eastAsia="楷体" w:cs="楷体"/>
          <w:i w:val="0"/>
          <w:iCs w:val="0"/>
          <w:caps w:val="0"/>
          <w:color w:val="333333"/>
          <w:spacing w:val="0"/>
          <w:sz w:val="28"/>
          <w:szCs w:val="28"/>
          <w:shd w:val="clear" w:fill="FFFFFF"/>
        </w:rPr>
        <w:t>注：除客运量为全年数值外，其余指标为年末时点值。</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（1）2014～2019年间，全国地铁运营线路长度同比增长20%以上的年份有几个？</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A．1                                         B．2</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C．3                                         D．4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（答案：A。）</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（2）以下城市中，2019年末平均每条运营的地铁线路配属地铁列车数最多的是：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A．广州                                   B．武汉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C．成都                                   D．南京</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楷体" w:cs="Times New Roman"/>
          <w:b w:val="0"/>
          <w:bCs/>
          <w:i w:val="0"/>
          <w:caps w:val="0"/>
          <w:color w:val="000000" w:themeColor="text1"/>
          <w:spacing w:val="0"/>
          <w:sz w:val="32"/>
          <w:szCs w:val="32"/>
          <w:shd w:val="clear" w:fill="FFFFFF"/>
          <w14:textFill>
            <w14:solidFill>
              <w14:schemeClr w14:val="tx1"/>
            </w14:solidFill>
          </w14:textFill>
        </w:rPr>
        <w:t>（答案：C。）</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三、申论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申论试卷由注意事项、给定资料和作答要求三部分组成。</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本次招考</w:t>
      </w:r>
      <w:r>
        <w:rPr>
          <w:rFonts w:hint="eastAsia" w:ascii="Times New Roman" w:hAnsi="Times New Roman" w:eastAsia="仿宋_GB2312"/>
          <w:color w:val="000000"/>
          <w:sz w:val="32"/>
          <w:szCs w:val="32"/>
          <w:shd w:val="clear" w:color="auto" w:fill="FFFFFF"/>
          <w:lang w:eastAsia="zh-CN"/>
        </w:rPr>
        <w:t>申论试卷分类分级命制，</w:t>
      </w:r>
      <w:r>
        <w:rPr>
          <w:rFonts w:hint="eastAsia" w:ascii="Times New Roman" w:hAnsi="Times New Roman" w:eastAsia="仿宋_GB2312"/>
          <w:color w:val="000000"/>
          <w:sz w:val="32"/>
          <w:szCs w:val="32"/>
          <w:shd w:val="clear" w:color="auto" w:fill="FFFFFF"/>
        </w:rPr>
        <w:t>自治区</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lang w:val="en-US" w:eastAsia="zh-CN"/>
        </w:rPr>
        <w:t>地市</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综合管理类职位使用</w:t>
      </w:r>
      <w:r>
        <w:rPr>
          <w:rFonts w:hint="eastAsia" w:ascii="Times New Roman" w:hAnsi="Times New Roman" w:eastAsia="仿宋_GB2312"/>
          <w:color w:val="000000"/>
          <w:sz w:val="32"/>
          <w:szCs w:val="32"/>
          <w:shd w:val="clear" w:color="auto" w:fill="FFFFFF"/>
          <w:lang w:val="en-US" w:eastAsia="zh-CN"/>
        </w:rPr>
        <w:t>A卷</w:t>
      </w:r>
      <w:r>
        <w:rPr>
          <w:rFonts w:hint="eastAsia" w:ascii="Times New Roman" w:hAnsi="Times New Roman" w:eastAsia="仿宋_GB2312"/>
          <w:color w:val="000000"/>
          <w:sz w:val="32"/>
          <w:szCs w:val="32"/>
          <w:shd w:val="clear" w:color="auto" w:fill="FFFFFF"/>
          <w:lang w:eastAsia="zh-CN"/>
        </w:rPr>
        <w:t>，县（区）、</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w:t>
      </w:r>
      <w:r>
        <w:rPr>
          <w:rFonts w:hint="eastAsia" w:ascii="Times New Roman" w:hAnsi="Times New Roman" w:eastAsia="仿宋_GB2312"/>
          <w:color w:val="000000"/>
          <w:sz w:val="32"/>
          <w:szCs w:val="32"/>
          <w:shd w:val="clear" w:color="auto" w:fill="FFFFFF"/>
        </w:rPr>
        <w:t>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B卷，</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全区公安机关执法勤务类职位、地级市以下市场监督管理部门行政执法类职位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C卷。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（一）自治区、</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地市</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级综合管理类职位申论考试主要测查报考者的阅读理解能力、综合分析能力、提出和解决问题能力、文字表达能力。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微软雅黑" w:hAnsi="微软雅黑" w:eastAsia="微软雅黑" w:cs="微软雅黑"/>
          <w:i w:val="0"/>
          <w:iCs w:val="0"/>
          <w:caps w:val="0"/>
          <w:color w:val="333333"/>
          <w:spacing w:val="0"/>
          <w:sz w:val="18"/>
          <w:szCs w:val="18"/>
        </w:rPr>
      </w:pPr>
      <w:r>
        <w:rPr>
          <w:rStyle w:val="6"/>
          <w:rFonts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全面把握给定资料的相关内容，准确理解给定资料的含义，准确提炼事实所包含的观点，并揭示所反映的本质问题。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综合分析能力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对给定资料的全部或部分的内容、观点或问题进行分析和归纳，多角度地思考资料内容，作出合理的推断或评价。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提出和解决问题能力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准确理解把握给定资料所反映的问题，提出解决问题的措施或办法。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熟练使用指定的语种，运用说明、陈述、议论等方式，准确规范、简明畅达地表述思想观点。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宋体" w:eastAsia="仿宋_GB2312" w:cs="仿宋_GB2312"/>
          <w:i w:val="0"/>
          <w:iCs w:val="0"/>
          <w:caps w:val="0"/>
          <w:color w:val="333333"/>
          <w:spacing w:val="0"/>
          <w:sz w:val="31"/>
          <w:szCs w:val="31"/>
          <w:shd w:val="clear" w:fill="FFFFFF"/>
        </w:rPr>
      </w:pP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（二）</w:t>
      </w:r>
      <w:r>
        <w:rPr>
          <w:rFonts w:hint="eastAsia" w:ascii="Times New Roman" w:hAnsi="Times New Roman" w:eastAsia="仿宋_GB2312"/>
          <w:color w:val="000000"/>
          <w:sz w:val="32"/>
          <w:szCs w:val="32"/>
          <w:shd w:val="clear" w:color="auto" w:fill="FFFFFF"/>
          <w:lang w:eastAsia="zh-CN"/>
        </w:rPr>
        <w:t>县（区）、</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w:t>
      </w:r>
      <w:r>
        <w:rPr>
          <w:rFonts w:hint="eastAsia" w:ascii="Times New Roman" w:hAnsi="Times New Roman" w:eastAsia="仿宋_GB2312"/>
          <w:color w:val="000000"/>
          <w:sz w:val="32"/>
          <w:szCs w:val="32"/>
          <w:shd w:val="clear" w:color="auto" w:fill="FFFFFF"/>
        </w:rPr>
        <w:t>职位</w:t>
      </w:r>
      <w:r>
        <w:rPr>
          <w:rFonts w:hint="eastAsia" w:ascii="Times New Roman" w:hAnsi="Times New Roman" w:eastAsia="仿宋_GB2312"/>
          <w:color w:val="000000"/>
          <w:sz w:val="32"/>
          <w:szCs w:val="32"/>
          <w:shd w:val="clear" w:color="auto" w:fill="FFFFFF"/>
          <w:lang w:eastAsia="zh-CN"/>
        </w:rPr>
        <w:t>申论考试主要测</w:t>
      </w:r>
      <w:r>
        <w:rPr>
          <w:rFonts w:ascii="仿宋_GB2312" w:hAnsi="宋体" w:eastAsia="仿宋_GB2312" w:cs="仿宋_GB2312"/>
          <w:i w:val="0"/>
          <w:iCs w:val="0"/>
          <w:caps w:val="0"/>
          <w:color w:val="333333"/>
          <w:spacing w:val="0"/>
          <w:sz w:val="31"/>
          <w:szCs w:val="31"/>
          <w:shd w:val="clear" w:fill="FFFFFF"/>
        </w:rPr>
        <w:t>查报考者的阅读理解能力、贯彻执行能力、解决问题能力和文字表达能力。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ascii="微软雅黑" w:hAnsi="微软雅黑" w:eastAsia="微软雅黑" w:cs="微软雅黑"/>
          <w:i w:val="0"/>
          <w:iCs w:val="0"/>
          <w:caps w:val="0"/>
          <w:color w:val="333333"/>
          <w:spacing w:val="0"/>
          <w:sz w:val="18"/>
          <w:szCs w:val="18"/>
        </w:rPr>
      </w:pPr>
      <w:r>
        <w:rPr>
          <w:rStyle w:val="6"/>
          <w:rFonts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能够理解给定资料的主要内容，把握给定资料各部分之间的关系，对给定资料所涉及的观点、事实作出恰当的解释。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贯彻执行能力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能够准确理解工作目标和组织意图，遵循依法行政的原则，根据客观实际情况，及时有效地完成任务。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对给定资料所反映的问题进行分析，并提出解决的措施或办法。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30"/>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）公安机关执法勤务类职位、地级市以下市场监督管理部门行政执法类职位申论考试主要测查报考者的阅读理解能力、依法办事能力、公共服务能力和文字表达能力。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720"/>
        <w:jc w:val="both"/>
        <w:textAlignment w:val="auto"/>
        <w:rPr>
          <w:rFonts w:ascii="微软雅黑" w:hAnsi="微软雅黑" w:eastAsia="微软雅黑" w:cs="微软雅黑"/>
          <w:i w:val="0"/>
          <w:iCs w:val="0"/>
          <w:caps w:val="0"/>
          <w:color w:val="333333"/>
          <w:spacing w:val="0"/>
          <w:sz w:val="18"/>
          <w:szCs w:val="18"/>
        </w:rPr>
      </w:pPr>
      <w:r>
        <w:rPr>
          <w:rStyle w:val="6"/>
          <w:rFonts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准确理解归纳给定资料的主要内容，对所涉及的观点和事实进行恰当的解释，并作出合理的推断。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720"/>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依法办事能力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遵循依法行政的原则，综合运用恰当有效的方法完成任务、解决问题、实现目标。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720"/>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公共服务能力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能够全面准确了解公众需求和愿望，灵活运用各种措施和办法为公众提供优质、高效、便捷的服务。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四、作答要求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（一）行政职业能力测验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在指定位置上填涂准考证号，并在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（二）申论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钢笔或签字笔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指定位置上作答。在非指定位置作答或用铅笔作答一律无效。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sectPr>
      <w:footerReference r:id="rId3" w:type="default"/>
      <w:pgSz w:w="11906" w:h="16838"/>
      <w:pgMar w:top="1984" w:right="1587" w:bottom="1701"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方正魏碑_GBK">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微软雅黑">
    <w:altName w:val="黑体"/>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5BC8"/>
    <w:rsid w:val="01B52B68"/>
    <w:rsid w:val="024E2AFA"/>
    <w:rsid w:val="025A5E5F"/>
    <w:rsid w:val="03716348"/>
    <w:rsid w:val="04FD6751"/>
    <w:rsid w:val="09FC686E"/>
    <w:rsid w:val="0EB11026"/>
    <w:rsid w:val="0F3C39A6"/>
    <w:rsid w:val="0F476AAE"/>
    <w:rsid w:val="0FC1328C"/>
    <w:rsid w:val="0FF17534"/>
    <w:rsid w:val="1020686B"/>
    <w:rsid w:val="10B82BEE"/>
    <w:rsid w:val="1311690B"/>
    <w:rsid w:val="146D4D05"/>
    <w:rsid w:val="154F327E"/>
    <w:rsid w:val="159C5DCE"/>
    <w:rsid w:val="16675B6E"/>
    <w:rsid w:val="18912965"/>
    <w:rsid w:val="18CF3ABC"/>
    <w:rsid w:val="19157C2D"/>
    <w:rsid w:val="1C03606E"/>
    <w:rsid w:val="1C417292"/>
    <w:rsid w:val="1CC801E8"/>
    <w:rsid w:val="1DE03C8B"/>
    <w:rsid w:val="1E7A587F"/>
    <w:rsid w:val="1EBA5221"/>
    <w:rsid w:val="1F512DE9"/>
    <w:rsid w:val="1F65495C"/>
    <w:rsid w:val="20B0120C"/>
    <w:rsid w:val="22A1400D"/>
    <w:rsid w:val="242E5520"/>
    <w:rsid w:val="24376676"/>
    <w:rsid w:val="248D6AEB"/>
    <w:rsid w:val="24E23B37"/>
    <w:rsid w:val="24F17786"/>
    <w:rsid w:val="25702CF0"/>
    <w:rsid w:val="264A11A3"/>
    <w:rsid w:val="28425A0F"/>
    <w:rsid w:val="29923F1C"/>
    <w:rsid w:val="29DB2579"/>
    <w:rsid w:val="2C021CB6"/>
    <w:rsid w:val="2E07133C"/>
    <w:rsid w:val="2E0A61F2"/>
    <w:rsid w:val="2E281DF2"/>
    <w:rsid w:val="30CF49B9"/>
    <w:rsid w:val="3186419E"/>
    <w:rsid w:val="32C225DF"/>
    <w:rsid w:val="340258C4"/>
    <w:rsid w:val="350D4E8B"/>
    <w:rsid w:val="36BF54FE"/>
    <w:rsid w:val="38A967DD"/>
    <w:rsid w:val="392046DA"/>
    <w:rsid w:val="3AE719E1"/>
    <w:rsid w:val="3AED5666"/>
    <w:rsid w:val="3E9A4837"/>
    <w:rsid w:val="42D74058"/>
    <w:rsid w:val="43954584"/>
    <w:rsid w:val="44154851"/>
    <w:rsid w:val="45560C7E"/>
    <w:rsid w:val="47ED3003"/>
    <w:rsid w:val="486E2017"/>
    <w:rsid w:val="49C457CA"/>
    <w:rsid w:val="4A430751"/>
    <w:rsid w:val="4A9C0A27"/>
    <w:rsid w:val="4BA350B5"/>
    <w:rsid w:val="4C41576C"/>
    <w:rsid w:val="4C4E656C"/>
    <w:rsid w:val="4CA443E4"/>
    <w:rsid w:val="4E591463"/>
    <w:rsid w:val="50737D6A"/>
    <w:rsid w:val="51926CFC"/>
    <w:rsid w:val="52DC2E1A"/>
    <w:rsid w:val="56E6651D"/>
    <w:rsid w:val="586025EF"/>
    <w:rsid w:val="5A424E7F"/>
    <w:rsid w:val="5A7B164E"/>
    <w:rsid w:val="5AC37F19"/>
    <w:rsid w:val="5B2F1B85"/>
    <w:rsid w:val="5B850373"/>
    <w:rsid w:val="5BAC0CF2"/>
    <w:rsid w:val="5BB71B29"/>
    <w:rsid w:val="5C3D555E"/>
    <w:rsid w:val="5DF516EA"/>
    <w:rsid w:val="5F1414AC"/>
    <w:rsid w:val="5F217AD7"/>
    <w:rsid w:val="5FFB56C3"/>
    <w:rsid w:val="60A11CF1"/>
    <w:rsid w:val="60EB4657"/>
    <w:rsid w:val="62524AE8"/>
    <w:rsid w:val="63BC5F06"/>
    <w:rsid w:val="63D5517B"/>
    <w:rsid w:val="64030466"/>
    <w:rsid w:val="65A3018B"/>
    <w:rsid w:val="66096F8C"/>
    <w:rsid w:val="66565DD4"/>
    <w:rsid w:val="69317DC7"/>
    <w:rsid w:val="69852E2E"/>
    <w:rsid w:val="6B181FAD"/>
    <w:rsid w:val="6B2A6DA3"/>
    <w:rsid w:val="6B7821DD"/>
    <w:rsid w:val="6BE27A8E"/>
    <w:rsid w:val="6C42076D"/>
    <w:rsid w:val="6FAD1B03"/>
    <w:rsid w:val="709178DA"/>
    <w:rsid w:val="70C2529D"/>
    <w:rsid w:val="73AB591E"/>
    <w:rsid w:val="743B4691"/>
    <w:rsid w:val="74CD3CE2"/>
    <w:rsid w:val="79A37A99"/>
    <w:rsid w:val="7A5233DB"/>
    <w:rsid w:val="7AF7241D"/>
    <w:rsid w:val="7DB66F4E"/>
    <w:rsid w:val="7EB30AB3"/>
    <w:rsid w:val="7F2F3289"/>
    <w:rsid w:val="7FAB0869"/>
    <w:rsid w:val="7FC713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dcterms:modified xsi:type="dcterms:W3CDTF">2022-02-16T03:24:28Z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7F29572D2799402BBE0E4F350A2CCA6E</vt:lpwstr>
  </property>
</Properties>
</file>